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4919" w14:textId="77777777" w:rsidR="002677E8" w:rsidRDefault="00000000">
      <w:pPr>
        <w:spacing w:before="19" w:after="719"/>
        <w:ind w:left="135" w:right="5658"/>
        <w:textAlignment w:val="baseline"/>
      </w:pPr>
      <w:r>
        <w:rPr>
          <w:noProof/>
        </w:rPr>
        <w:drawing>
          <wp:inline distT="0" distB="0" distL="0" distR="0" wp14:anchorId="07B49391" wp14:editId="358DCDA9">
            <wp:extent cx="2099945" cy="58547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D41BE" w14:textId="320134D2" w:rsidR="002677E8" w:rsidRPr="00455660" w:rsidRDefault="00455660">
      <w:pPr>
        <w:spacing w:before="20" w:line="475" w:lineRule="exact"/>
        <w:jc w:val="center"/>
        <w:textAlignment w:val="baseline"/>
        <w:rPr>
          <w:rFonts w:ascii="Tahoma" w:eastAsia="Tahoma" w:hAnsi="Tahoma"/>
          <w:b/>
          <w:bCs/>
          <w:color w:val="000000"/>
          <w:spacing w:val="11"/>
          <w:w w:val="110"/>
          <w:sz w:val="32"/>
          <w:szCs w:val="32"/>
        </w:rPr>
      </w:pPr>
      <w:r w:rsidRPr="00455660">
        <w:rPr>
          <w:rFonts w:ascii="Tahoma" w:eastAsia="Tahoma" w:hAnsi="Tahoma"/>
          <w:b/>
          <w:bCs/>
          <w:color w:val="000000"/>
          <w:spacing w:val="11"/>
          <w:w w:val="110"/>
          <w:sz w:val="32"/>
          <w:szCs w:val="32"/>
        </w:rPr>
        <w:t xml:space="preserve">Junior Lawyer &amp; LLG Member </w:t>
      </w:r>
      <w:r w:rsidR="00000000" w:rsidRPr="00455660">
        <w:rPr>
          <w:rFonts w:ascii="Tahoma" w:eastAsia="Tahoma" w:hAnsi="Tahoma"/>
          <w:b/>
          <w:bCs/>
          <w:color w:val="000000"/>
          <w:spacing w:val="11"/>
          <w:w w:val="110"/>
          <w:sz w:val="32"/>
          <w:szCs w:val="32"/>
        </w:rPr>
        <w:t>Conference Bursary</w:t>
      </w:r>
    </w:p>
    <w:p w14:paraId="45DFBA97" w14:textId="35A5981B" w:rsidR="002677E8" w:rsidRPr="00455660" w:rsidRDefault="00455660">
      <w:pPr>
        <w:spacing w:before="393" w:after="319" w:line="325" w:lineRule="exact"/>
        <w:jc w:val="center"/>
        <w:textAlignment w:val="baseline"/>
        <w:rPr>
          <w:rFonts w:ascii="Tahoma" w:eastAsia="Tahoma" w:hAnsi="Tahoma"/>
          <w:b/>
          <w:bCs/>
          <w:color w:val="000000"/>
          <w:spacing w:val="19"/>
          <w:sz w:val="29"/>
        </w:rPr>
      </w:pPr>
      <w:r w:rsidRPr="00455660">
        <w:rPr>
          <w:b/>
          <w:bCs/>
        </w:rPr>
        <w:pict w14:anchorId="1C1797C6">
          <v:line id="_x0000_s1026" style="position:absolute;left:0;text-align:left;z-index:251657728;mso-position-horizontal-relative:page;mso-position-vertical-relative:page" from="70.3pt,203.25pt" to="525.35pt,203.25pt" strokecolor="#4471c4" strokeweight="1.2pt">
            <w10:wrap anchorx="page" anchory="page"/>
          </v:line>
        </w:pict>
      </w:r>
      <w:r w:rsidR="00000000" w:rsidRPr="00455660">
        <w:rPr>
          <w:rFonts w:ascii="Tahoma" w:eastAsia="Tahoma" w:hAnsi="Tahoma"/>
          <w:b/>
          <w:bCs/>
          <w:color w:val="000000"/>
          <w:spacing w:val="19"/>
          <w:sz w:val="29"/>
        </w:rPr>
        <w:t>Governance Conference 202</w:t>
      </w:r>
      <w:r w:rsidRPr="00455660">
        <w:rPr>
          <w:rFonts w:ascii="Tahoma" w:eastAsia="Tahoma" w:hAnsi="Tahoma"/>
          <w:b/>
          <w:bCs/>
          <w:color w:val="000000"/>
          <w:spacing w:val="19"/>
          <w:sz w:val="29"/>
        </w:rPr>
        <w:t>6</w:t>
      </w:r>
    </w:p>
    <w:p w14:paraId="3305FEE9" w14:textId="2DABF8FB" w:rsidR="002677E8" w:rsidRDefault="00000000">
      <w:pPr>
        <w:spacing w:before="375" w:line="267" w:lineRule="exact"/>
        <w:textAlignment w:val="baseline"/>
        <w:rPr>
          <w:rFonts w:ascii="Tahoma" w:eastAsia="Tahoma" w:hAnsi="Tahoma"/>
          <w:b/>
          <w:color w:val="000000"/>
          <w:spacing w:val="2"/>
        </w:rPr>
      </w:pPr>
      <w:r>
        <w:rPr>
          <w:rFonts w:ascii="Tahoma" w:eastAsia="Tahoma" w:hAnsi="Tahoma"/>
          <w:b/>
          <w:color w:val="000000"/>
          <w:spacing w:val="2"/>
        </w:rPr>
        <w:t>What does the bursary cover?</w:t>
      </w:r>
    </w:p>
    <w:p w14:paraId="08110923" w14:textId="062CDCFB" w:rsidR="002677E8" w:rsidRPr="00455660" w:rsidRDefault="00000000">
      <w:pPr>
        <w:tabs>
          <w:tab w:val="left" w:pos="432"/>
        </w:tabs>
        <w:spacing w:before="194" w:line="494" w:lineRule="exact"/>
        <w:ind w:left="360" w:right="144" w:hanging="360"/>
        <w:textAlignment w:val="baseline"/>
        <w:rPr>
          <w:rFonts w:ascii="Calibri" w:eastAsia="Calibri" w:hAnsi="Calibri"/>
          <w:color w:val="000000"/>
          <w:spacing w:val="5"/>
          <w:sz w:val="25"/>
        </w:rPr>
      </w:pPr>
      <w:r w:rsidRPr="00455660">
        <w:rPr>
          <w:rFonts w:ascii="Calibri" w:eastAsia="Calibri" w:hAnsi="Calibri"/>
          <w:color w:val="000000"/>
          <w:spacing w:val="5"/>
          <w:sz w:val="25"/>
        </w:rPr>
        <w:t>-</w:t>
      </w:r>
      <w:r w:rsidRPr="00455660">
        <w:rPr>
          <w:rFonts w:ascii="Calibri" w:eastAsia="Calibri" w:hAnsi="Calibri"/>
          <w:color w:val="000000"/>
          <w:spacing w:val="5"/>
          <w:sz w:val="25"/>
        </w:rPr>
        <w:tab/>
      </w:r>
      <w:r w:rsidRPr="00455660">
        <w:rPr>
          <w:rFonts w:ascii="Tahoma" w:eastAsia="Tahoma" w:hAnsi="Tahoma"/>
          <w:color w:val="000000"/>
          <w:spacing w:val="5"/>
          <w:sz w:val="23"/>
        </w:rPr>
        <w:t xml:space="preserve">LLG will allocate a limited number of bursaries for the Governance Conference 2025, taking place on </w:t>
      </w:r>
      <w:r w:rsidRPr="00455660">
        <w:rPr>
          <w:rFonts w:ascii="Tahoma" w:eastAsia="Tahoma" w:hAnsi="Tahoma"/>
          <w:color w:val="000000"/>
          <w:spacing w:val="5"/>
        </w:rPr>
        <w:t>2</w:t>
      </w:r>
      <w:r w:rsidR="00455660" w:rsidRPr="00455660">
        <w:rPr>
          <w:rFonts w:ascii="Tahoma" w:eastAsia="Tahoma" w:hAnsi="Tahoma"/>
          <w:color w:val="000000"/>
          <w:spacing w:val="5"/>
        </w:rPr>
        <w:t>0</w:t>
      </w:r>
      <w:r w:rsidRPr="00455660">
        <w:rPr>
          <w:rFonts w:ascii="Tahoma" w:eastAsia="Tahoma" w:hAnsi="Tahoma"/>
          <w:color w:val="000000"/>
          <w:spacing w:val="5"/>
        </w:rPr>
        <w:t xml:space="preserve"> November 202</w:t>
      </w:r>
      <w:r w:rsidR="00455660" w:rsidRPr="00455660">
        <w:rPr>
          <w:rFonts w:ascii="Tahoma" w:eastAsia="Tahoma" w:hAnsi="Tahoma"/>
          <w:color w:val="000000"/>
          <w:spacing w:val="5"/>
        </w:rPr>
        <w:t xml:space="preserve">6 </w:t>
      </w:r>
      <w:r w:rsidRPr="00455660">
        <w:rPr>
          <w:rFonts w:ascii="Tahoma" w:eastAsia="Tahoma" w:hAnsi="Tahoma"/>
          <w:color w:val="000000"/>
          <w:spacing w:val="5"/>
          <w:sz w:val="23"/>
        </w:rPr>
        <w:t xml:space="preserve">at </w:t>
      </w:r>
      <w:r w:rsidRPr="00455660">
        <w:rPr>
          <w:rFonts w:ascii="Tahoma" w:eastAsia="Tahoma" w:hAnsi="Tahoma"/>
          <w:color w:val="000000"/>
          <w:spacing w:val="5"/>
        </w:rPr>
        <w:t>ETC Venues, 8 Fenchurch Place, London, EC3M 4PB</w:t>
      </w:r>
      <w:r w:rsidRPr="00455660">
        <w:rPr>
          <w:rFonts w:ascii="Tahoma" w:eastAsia="Tahoma" w:hAnsi="Tahoma"/>
          <w:color w:val="000000"/>
          <w:spacing w:val="5"/>
          <w:sz w:val="23"/>
        </w:rPr>
        <w:t>. The bursary covers the first in-person day (2</w:t>
      </w:r>
      <w:r w:rsidR="00455660" w:rsidRPr="00455660">
        <w:rPr>
          <w:rFonts w:ascii="Tahoma" w:eastAsia="Tahoma" w:hAnsi="Tahoma"/>
          <w:color w:val="000000"/>
          <w:spacing w:val="5"/>
          <w:sz w:val="23"/>
        </w:rPr>
        <w:t>0</w:t>
      </w:r>
      <w:r w:rsidRPr="00455660">
        <w:rPr>
          <w:rFonts w:ascii="Tahoma" w:eastAsia="Tahoma" w:hAnsi="Tahoma"/>
          <w:color w:val="000000"/>
          <w:spacing w:val="5"/>
          <w:sz w:val="23"/>
        </w:rPr>
        <w:t xml:space="preserve"> November 202</w:t>
      </w:r>
      <w:r w:rsidR="00455660" w:rsidRPr="00455660">
        <w:rPr>
          <w:rFonts w:ascii="Tahoma" w:eastAsia="Tahoma" w:hAnsi="Tahoma"/>
          <w:color w:val="000000"/>
          <w:spacing w:val="5"/>
          <w:sz w:val="23"/>
        </w:rPr>
        <w:t>6</w:t>
      </w:r>
      <w:r w:rsidRPr="00455660">
        <w:rPr>
          <w:rFonts w:ascii="Tahoma" w:eastAsia="Tahoma" w:hAnsi="Tahoma"/>
          <w:color w:val="000000"/>
          <w:spacing w:val="5"/>
          <w:sz w:val="23"/>
        </w:rPr>
        <w:t xml:space="preserve">) </w:t>
      </w:r>
      <w:r w:rsidRPr="00455660">
        <w:rPr>
          <w:rFonts w:ascii="Tahoma" w:eastAsia="Tahoma" w:hAnsi="Tahoma"/>
          <w:color w:val="000000"/>
          <w:spacing w:val="5"/>
        </w:rPr>
        <w:t xml:space="preserve">and </w:t>
      </w:r>
      <w:r w:rsidRPr="00455660">
        <w:rPr>
          <w:rFonts w:ascii="Tahoma" w:eastAsia="Tahoma" w:hAnsi="Tahoma"/>
          <w:color w:val="000000"/>
          <w:spacing w:val="5"/>
          <w:sz w:val="23"/>
        </w:rPr>
        <w:t xml:space="preserve">the second remote day on </w:t>
      </w:r>
      <w:r w:rsidR="00455660" w:rsidRPr="00455660">
        <w:rPr>
          <w:rFonts w:ascii="Tahoma" w:eastAsia="Tahoma" w:hAnsi="Tahoma"/>
          <w:color w:val="000000"/>
          <w:spacing w:val="5"/>
          <w:sz w:val="23"/>
        </w:rPr>
        <w:t>27</w:t>
      </w:r>
      <w:r w:rsidRPr="00455660">
        <w:rPr>
          <w:rFonts w:ascii="Tahoma" w:eastAsia="Tahoma" w:hAnsi="Tahoma"/>
          <w:color w:val="000000"/>
          <w:spacing w:val="5"/>
          <w:sz w:val="23"/>
        </w:rPr>
        <w:t xml:space="preserve"> </w:t>
      </w:r>
      <w:r w:rsidR="00455660" w:rsidRPr="00455660">
        <w:rPr>
          <w:rFonts w:ascii="Tahoma" w:eastAsia="Tahoma" w:hAnsi="Tahoma"/>
          <w:color w:val="000000"/>
          <w:spacing w:val="5"/>
          <w:sz w:val="23"/>
        </w:rPr>
        <w:t>November</w:t>
      </w:r>
      <w:r w:rsidRPr="00455660">
        <w:rPr>
          <w:rFonts w:ascii="Tahoma" w:eastAsia="Tahoma" w:hAnsi="Tahoma"/>
          <w:color w:val="000000"/>
          <w:spacing w:val="5"/>
          <w:sz w:val="23"/>
        </w:rPr>
        <w:t xml:space="preserve"> 202</w:t>
      </w:r>
      <w:r w:rsidR="00455660" w:rsidRPr="00455660">
        <w:rPr>
          <w:rFonts w:ascii="Tahoma" w:eastAsia="Tahoma" w:hAnsi="Tahoma"/>
          <w:color w:val="000000"/>
          <w:spacing w:val="5"/>
          <w:sz w:val="23"/>
        </w:rPr>
        <w:t>6</w:t>
      </w:r>
      <w:r w:rsidRPr="00455660">
        <w:rPr>
          <w:rFonts w:ascii="Tahoma" w:eastAsia="Tahoma" w:hAnsi="Tahoma"/>
          <w:color w:val="000000"/>
          <w:spacing w:val="5"/>
          <w:sz w:val="23"/>
        </w:rPr>
        <w:t>.</w:t>
      </w:r>
    </w:p>
    <w:p w14:paraId="10984B0D" w14:textId="77777777" w:rsidR="002677E8" w:rsidRPr="00455660" w:rsidRDefault="00000000">
      <w:pPr>
        <w:tabs>
          <w:tab w:val="left" w:pos="432"/>
        </w:tabs>
        <w:spacing w:before="5" w:line="494" w:lineRule="exact"/>
        <w:ind w:left="360" w:right="72" w:hanging="360"/>
        <w:textAlignment w:val="baseline"/>
        <w:rPr>
          <w:rFonts w:ascii="Calibri" w:eastAsia="Calibri" w:hAnsi="Calibri"/>
          <w:color w:val="000000"/>
          <w:sz w:val="25"/>
        </w:rPr>
      </w:pPr>
      <w:r w:rsidRPr="00455660">
        <w:rPr>
          <w:rFonts w:ascii="Calibri" w:eastAsia="Calibri" w:hAnsi="Calibri"/>
          <w:color w:val="000000"/>
          <w:sz w:val="25"/>
        </w:rPr>
        <w:t>-</w:t>
      </w:r>
      <w:r w:rsidRPr="00455660">
        <w:rPr>
          <w:rFonts w:ascii="Calibri" w:eastAsia="Calibri" w:hAnsi="Calibri"/>
          <w:color w:val="000000"/>
          <w:sz w:val="25"/>
        </w:rPr>
        <w:tab/>
      </w:r>
      <w:r w:rsidRPr="00455660">
        <w:rPr>
          <w:rFonts w:ascii="Tahoma" w:eastAsia="Tahoma" w:hAnsi="Tahoma"/>
          <w:color w:val="000000"/>
          <w:sz w:val="23"/>
        </w:rPr>
        <w:t xml:space="preserve">The bursary is allocated </w:t>
      </w:r>
      <w:r w:rsidRPr="00455660">
        <w:rPr>
          <w:rFonts w:ascii="Tahoma" w:eastAsia="Tahoma" w:hAnsi="Tahoma"/>
          <w:color w:val="000000"/>
          <w:sz w:val="23"/>
          <w:u w:val="single"/>
        </w:rPr>
        <w:t xml:space="preserve">on the basis that you </w:t>
      </w:r>
      <w:proofErr w:type="gramStart"/>
      <w:r w:rsidRPr="00455660">
        <w:rPr>
          <w:rFonts w:ascii="Tahoma" w:eastAsia="Tahoma" w:hAnsi="Tahoma"/>
          <w:color w:val="000000"/>
          <w:sz w:val="23"/>
          <w:u w:val="single"/>
        </w:rPr>
        <w:t>are able to</w:t>
      </w:r>
      <w:proofErr w:type="gramEnd"/>
      <w:r w:rsidRPr="00455660">
        <w:rPr>
          <w:rFonts w:ascii="Tahoma" w:eastAsia="Tahoma" w:hAnsi="Tahoma"/>
          <w:color w:val="000000"/>
          <w:sz w:val="23"/>
          <w:u w:val="single"/>
        </w:rPr>
        <w:t xml:space="preserve"> attend Day 1 in-person</w:t>
      </w:r>
      <w:r w:rsidRPr="00455660">
        <w:rPr>
          <w:rFonts w:ascii="Tahoma" w:eastAsia="Tahoma" w:hAnsi="Tahoma"/>
          <w:color w:val="000000"/>
          <w:sz w:val="23"/>
        </w:rPr>
        <w:t>. A bursary placement will not be allocated for remote attendance only.</w:t>
      </w:r>
    </w:p>
    <w:p w14:paraId="3D83E234" w14:textId="77777777" w:rsidR="002677E8" w:rsidRPr="00455660" w:rsidRDefault="00000000">
      <w:pPr>
        <w:tabs>
          <w:tab w:val="left" w:pos="432"/>
        </w:tabs>
        <w:spacing w:before="228" w:line="276" w:lineRule="exact"/>
        <w:textAlignment w:val="baseline"/>
        <w:rPr>
          <w:rFonts w:ascii="Calibri" w:eastAsia="Calibri" w:hAnsi="Calibri"/>
          <w:color w:val="000000"/>
          <w:spacing w:val="5"/>
          <w:sz w:val="25"/>
        </w:rPr>
      </w:pPr>
      <w:r w:rsidRPr="00455660">
        <w:rPr>
          <w:rFonts w:ascii="Calibri" w:eastAsia="Calibri" w:hAnsi="Calibri"/>
          <w:color w:val="000000"/>
          <w:spacing w:val="5"/>
          <w:sz w:val="25"/>
        </w:rPr>
        <w:t>-</w:t>
      </w:r>
      <w:r w:rsidRPr="00455660">
        <w:rPr>
          <w:rFonts w:ascii="Calibri" w:eastAsia="Calibri" w:hAnsi="Calibri"/>
          <w:color w:val="000000"/>
          <w:spacing w:val="5"/>
          <w:sz w:val="25"/>
        </w:rPr>
        <w:tab/>
      </w:r>
      <w:r w:rsidRPr="00455660">
        <w:rPr>
          <w:rFonts w:ascii="Tahoma" w:eastAsia="Tahoma" w:hAnsi="Tahoma"/>
          <w:color w:val="000000"/>
          <w:spacing w:val="5"/>
          <w:sz w:val="23"/>
        </w:rPr>
        <w:t xml:space="preserve">The bursary includes </w:t>
      </w:r>
      <w:proofErr w:type="gramStart"/>
      <w:r w:rsidRPr="00455660">
        <w:rPr>
          <w:rFonts w:ascii="Tahoma" w:eastAsia="Tahoma" w:hAnsi="Tahoma"/>
          <w:color w:val="000000"/>
          <w:spacing w:val="5"/>
          <w:sz w:val="23"/>
        </w:rPr>
        <w:t xml:space="preserve">the </w:t>
      </w:r>
      <w:r w:rsidRPr="00455660">
        <w:rPr>
          <w:rFonts w:ascii="Tahoma" w:eastAsia="Tahoma" w:hAnsi="Tahoma"/>
          <w:color w:val="000000"/>
          <w:spacing w:val="5"/>
        </w:rPr>
        <w:t>conference</w:t>
      </w:r>
      <w:proofErr w:type="gramEnd"/>
      <w:r w:rsidRPr="00455660">
        <w:rPr>
          <w:rFonts w:ascii="Tahoma" w:eastAsia="Tahoma" w:hAnsi="Tahoma"/>
          <w:color w:val="000000"/>
          <w:spacing w:val="5"/>
        </w:rPr>
        <w:t xml:space="preserve"> admission only.</w:t>
      </w:r>
    </w:p>
    <w:p w14:paraId="0789AC60" w14:textId="23FC1D96" w:rsidR="002677E8" w:rsidRPr="00455660" w:rsidRDefault="00000000">
      <w:pPr>
        <w:tabs>
          <w:tab w:val="left" w:pos="432"/>
        </w:tabs>
        <w:spacing w:before="218" w:line="276" w:lineRule="exact"/>
        <w:textAlignment w:val="baseline"/>
        <w:rPr>
          <w:rFonts w:ascii="Calibri" w:eastAsia="Calibri" w:hAnsi="Calibri"/>
          <w:color w:val="000000"/>
          <w:sz w:val="25"/>
        </w:rPr>
      </w:pPr>
      <w:r w:rsidRPr="00455660">
        <w:rPr>
          <w:rFonts w:ascii="Calibri" w:eastAsia="Calibri" w:hAnsi="Calibri"/>
          <w:color w:val="000000"/>
          <w:sz w:val="25"/>
        </w:rPr>
        <w:t>-</w:t>
      </w:r>
      <w:r w:rsidRPr="00455660">
        <w:rPr>
          <w:rFonts w:ascii="Calibri" w:eastAsia="Calibri" w:hAnsi="Calibri"/>
          <w:color w:val="000000"/>
          <w:sz w:val="25"/>
        </w:rPr>
        <w:tab/>
      </w:r>
      <w:r w:rsidRPr="00455660">
        <w:rPr>
          <w:rFonts w:ascii="Tahoma" w:eastAsia="Tahoma" w:hAnsi="Tahoma"/>
          <w:color w:val="000000"/>
          <w:sz w:val="23"/>
          <w:u w:val="single"/>
        </w:rPr>
        <w:t xml:space="preserve">No accommodation </w:t>
      </w:r>
      <w:r w:rsidR="00455660" w:rsidRPr="00455660">
        <w:rPr>
          <w:rFonts w:ascii="Tahoma" w:eastAsia="Tahoma" w:hAnsi="Tahoma"/>
          <w:color w:val="000000"/>
          <w:sz w:val="23"/>
          <w:u w:val="single"/>
        </w:rPr>
        <w:t xml:space="preserve">or travel costs are </w:t>
      </w:r>
      <w:r w:rsidRPr="00455660">
        <w:rPr>
          <w:rFonts w:ascii="Tahoma" w:eastAsia="Tahoma" w:hAnsi="Tahoma"/>
          <w:color w:val="000000"/>
          <w:sz w:val="23"/>
          <w:u w:val="single"/>
        </w:rPr>
        <w:t xml:space="preserve">provided. </w:t>
      </w:r>
    </w:p>
    <w:p w14:paraId="47A69D4A" w14:textId="77777777" w:rsidR="002677E8" w:rsidRDefault="00000000">
      <w:pPr>
        <w:spacing w:before="424" w:line="268" w:lineRule="exact"/>
        <w:textAlignment w:val="baseline"/>
        <w:rPr>
          <w:rFonts w:ascii="Tahoma" w:eastAsia="Tahoma" w:hAnsi="Tahoma"/>
          <w:b/>
          <w:color w:val="000000"/>
          <w:spacing w:val="4"/>
        </w:rPr>
      </w:pPr>
      <w:r>
        <w:rPr>
          <w:rFonts w:ascii="Tahoma" w:eastAsia="Tahoma" w:hAnsi="Tahoma"/>
          <w:b/>
          <w:color w:val="000000"/>
          <w:spacing w:val="4"/>
        </w:rPr>
        <w:t>Who can apply?</w:t>
      </w:r>
    </w:p>
    <w:p w14:paraId="5DED057C" w14:textId="622E33CF" w:rsidR="002677E8" w:rsidRDefault="00000000">
      <w:pPr>
        <w:tabs>
          <w:tab w:val="left" w:pos="432"/>
        </w:tabs>
        <w:spacing w:before="190" w:line="494" w:lineRule="exact"/>
        <w:ind w:left="360" w:right="720" w:hanging="360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>-</w:t>
      </w:r>
      <w:r>
        <w:rPr>
          <w:rFonts w:ascii="Calibri" w:eastAsia="Calibri" w:hAnsi="Calibri"/>
          <w:color w:val="000000"/>
          <w:sz w:val="25"/>
        </w:rPr>
        <w:tab/>
      </w:r>
      <w:r>
        <w:rPr>
          <w:rFonts w:ascii="Tahoma" w:eastAsia="Tahoma" w:hAnsi="Tahoma"/>
          <w:color w:val="000000"/>
          <w:sz w:val="23"/>
        </w:rPr>
        <w:t>The bursary applications are open to junior lawyers (less than 3PQE) and trainee solicitors</w:t>
      </w:r>
      <w:r w:rsidR="00455660">
        <w:rPr>
          <w:rFonts w:ascii="Tahoma" w:eastAsia="Tahoma" w:hAnsi="Tahoma"/>
          <w:color w:val="000000"/>
          <w:sz w:val="23"/>
        </w:rPr>
        <w:t xml:space="preserve"> who are LLG members</w:t>
      </w:r>
      <w:r>
        <w:rPr>
          <w:rFonts w:ascii="Tahoma" w:eastAsia="Tahoma" w:hAnsi="Tahoma"/>
          <w:color w:val="000000"/>
          <w:sz w:val="23"/>
        </w:rPr>
        <w:t>.</w:t>
      </w:r>
    </w:p>
    <w:p w14:paraId="68F84B93" w14:textId="7D877152" w:rsidR="002677E8" w:rsidRDefault="00000000">
      <w:pPr>
        <w:tabs>
          <w:tab w:val="left" w:pos="432"/>
        </w:tabs>
        <w:spacing w:before="13" w:line="494" w:lineRule="exact"/>
        <w:ind w:left="360" w:right="72" w:hanging="360"/>
        <w:jc w:val="both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>-</w:t>
      </w:r>
      <w:r>
        <w:rPr>
          <w:rFonts w:ascii="Calibri" w:eastAsia="Calibri" w:hAnsi="Calibri"/>
          <w:color w:val="000000"/>
          <w:sz w:val="25"/>
        </w:rPr>
        <w:tab/>
      </w:r>
      <w:r>
        <w:rPr>
          <w:rFonts w:ascii="Tahoma" w:eastAsia="Tahoma" w:hAnsi="Tahoma"/>
          <w:color w:val="000000"/>
          <w:sz w:val="23"/>
        </w:rPr>
        <w:t>All applications must be completed and forwarded in a word document or PDF format to</w:t>
      </w:r>
      <w:hyperlink r:id="rId5">
        <w:r>
          <w:rPr>
            <w:rFonts w:ascii="Tahoma" w:eastAsia="Tahoma" w:hAnsi="Tahoma"/>
            <w:color w:val="0000FF"/>
            <w:sz w:val="23"/>
            <w:u w:val="single"/>
          </w:rPr>
          <w:t xml:space="preserve"> </w:t>
        </w:r>
      </w:hyperlink>
      <w:r>
        <w:rPr>
          <w:rFonts w:ascii="Tahoma" w:eastAsia="Tahoma" w:hAnsi="Tahoma"/>
          <w:color w:val="0000FF"/>
          <w:sz w:val="23"/>
          <w:u w:val="single"/>
        </w:rPr>
        <w:t xml:space="preserve">legaltalent@llg.org.uk </w:t>
      </w:r>
      <w:r>
        <w:rPr>
          <w:rFonts w:ascii="Tahoma" w:eastAsia="Tahoma" w:hAnsi="Tahoma"/>
          <w:color w:val="000000"/>
          <w:sz w:val="23"/>
        </w:rPr>
        <w:t xml:space="preserve">by </w:t>
      </w:r>
      <w:r w:rsidR="00455660">
        <w:rPr>
          <w:rFonts w:ascii="Tahoma" w:eastAsia="Tahoma" w:hAnsi="Tahoma"/>
          <w:color w:val="000000"/>
          <w:sz w:val="23"/>
        </w:rPr>
        <w:t>Thursday 3 September 2026</w:t>
      </w:r>
      <w:r>
        <w:rPr>
          <w:rFonts w:ascii="Tahoma" w:eastAsia="Tahoma" w:hAnsi="Tahoma"/>
          <w:color w:val="000000"/>
          <w:sz w:val="23"/>
        </w:rPr>
        <w:t>.</w:t>
      </w:r>
    </w:p>
    <w:p w14:paraId="187824F7" w14:textId="590F5A4A" w:rsidR="002677E8" w:rsidRDefault="00000000">
      <w:pPr>
        <w:tabs>
          <w:tab w:val="left" w:pos="432"/>
        </w:tabs>
        <w:spacing w:line="490" w:lineRule="exact"/>
        <w:ind w:left="360" w:right="144" w:hanging="360"/>
        <w:jc w:val="both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>-</w:t>
      </w:r>
      <w:r>
        <w:rPr>
          <w:rFonts w:ascii="Calibri" w:eastAsia="Calibri" w:hAnsi="Calibri"/>
          <w:color w:val="000000"/>
          <w:sz w:val="25"/>
        </w:rPr>
        <w:tab/>
      </w:r>
      <w:r>
        <w:rPr>
          <w:rFonts w:ascii="Tahoma" w:eastAsia="Tahoma" w:hAnsi="Tahoma"/>
          <w:color w:val="000000"/>
          <w:sz w:val="23"/>
        </w:rPr>
        <w:t xml:space="preserve">All applicants will be notified </w:t>
      </w:r>
      <w:r w:rsidR="00455660">
        <w:rPr>
          <w:rFonts w:ascii="Tahoma" w:eastAsia="Tahoma" w:hAnsi="Tahoma"/>
          <w:color w:val="000000"/>
          <w:sz w:val="23"/>
        </w:rPr>
        <w:t>about the result of their application by Monday 21 September2026 latest.</w:t>
      </w:r>
    </w:p>
    <w:p w14:paraId="42014F8D" w14:textId="77777777" w:rsidR="00455660" w:rsidRDefault="00455660" w:rsidP="00455660">
      <w:pPr>
        <w:textAlignment w:val="baseline"/>
        <w:rPr>
          <w:rFonts w:ascii="Tahoma" w:eastAsia="Tahoma" w:hAnsi="Tahoma"/>
          <w:b/>
          <w:color w:val="000000"/>
          <w:spacing w:val="1"/>
        </w:rPr>
      </w:pPr>
    </w:p>
    <w:p w14:paraId="542ED40C" w14:textId="7C6B78AC" w:rsidR="002677E8" w:rsidRPr="00455660" w:rsidRDefault="00000000" w:rsidP="00455660">
      <w:pPr>
        <w:textAlignment w:val="baseline"/>
        <w:rPr>
          <w:rFonts w:ascii="Tahoma" w:eastAsia="Tahoma" w:hAnsi="Tahoma"/>
          <w:b/>
          <w:color w:val="000000"/>
          <w:spacing w:val="1"/>
          <w:sz w:val="23"/>
          <w:szCs w:val="23"/>
        </w:rPr>
      </w:pPr>
      <w:r w:rsidRPr="00455660">
        <w:rPr>
          <w:rFonts w:ascii="Tahoma" w:eastAsia="Tahoma" w:hAnsi="Tahoma"/>
          <w:b/>
          <w:color w:val="000000"/>
          <w:spacing w:val="1"/>
          <w:sz w:val="23"/>
          <w:szCs w:val="23"/>
        </w:rPr>
        <w:t>We look forward to receiving your application.</w:t>
      </w:r>
    </w:p>
    <w:p w14:paraId="148639FE" w14:textId="77777777" w:rsidR="00455660" w:rsidRPr="00455660" w:rsidRDefault="00455660" w:rsidP="00455660">
      <w:pPr>
        <w:textAlignment w:val="baseline"/>
        <w:rPr>
          <w:rFonts w:ascii="Tahoma" w:eastAsia="Tahoma" w:hAnsi="Tahoma"/>
          <w:color w:val="000000"/>
          <w:spacing w:val="3"/>
          <w:sz w:val="23"/>
          <w:szCs w:val="23"/>
        </w:rPr>
      </w:pPr>
    </w:p>
    <w:p w14:paraId="1701CC9E" w14:textId="32417730" w:rsidR="00455660" w:rsidRPr="00455660" w:rsidRDefault="00000000" w:rsidP="00455660">
      <w:pPr>
        <w:textAlignment w:val="baseline"/>
        <w:rPr>
          <w:rFonts w:ascii="Tahoma" w:eastAsia="Tahoma" w:hAnsi="Tahoma"/>
          <w:color w:val="000000"/>
          <w:spacing w:val="3"/>
          <w:sz w:val="23"/>
          <w:szCs w:val="23"/>
        </w:rPr>
      </w:pPr>
      <w:r w:rsidRPr="00455660">
        <w:rPr>
          <w:rFonts w:ascii="Tahoma" w:eastAsia="Tahoma" w:hAnsi="Tahoma"/>
          <w:color w:val="000000"/>
          <w:spacing w:val="3"/>
          <w:sz w:val="23"/>
          <w:szCs w:val="23"/>
        </w:rPr>
        <w:t>Best wishes,</w:t>
      </w:r>
    </w:p>
    <w:p w14:paraId="74980995" w14:textId="3A562CCF" w:rsidR="002677E8" w:rsidRPr="00455660" w:rsidRDefault="00000000" w:rsidP="00455660">
      <w:pPr>
        <w:textAlignment w:val="baseline"/>
        <w:rPr>
          <w:rFonts w:ascii="Tahoma" w:eastAsia="Tahoma" w:hAnsi="Tahoma"/>
          <w:bCs/>
          <w:color w:val="000000"/>
          <w:spacing w:val="1"/>
          <w:sz w:val="23"/>
          <w:szCs w:val="23"/>
        </w:rPr>
      </w:pPr>
      <w:r w:rsidRPr="00455660">
        <w:rPr>
          <w:rFonts w:ascii="Tahoma" w:eastAsia="Tahoma" w:hAnsi="Tahoma"/>
          <w:bCs/>
          <w:color w:val="000000"/>
          <w:spacing w:val="1"/>
          <w:sz w:val="23"/>
          <w:szCs w:val="23"/>
        </w:rPr>
        <w:t>The LLG Team</w:t>
      </w:r>
    </w:p>
    <w:sectPr w:rsidR="002677E8" w:rsidRPr="00455660">
      <w:pgSz w:w="11904" w:h="16843"/>
      <w:pgMar w:top="480" w:right="1398" w:bottom="2147" w:left="14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7E8"/>
    <w:rsid w:val="002677E8"/>
    <w:rsid w:val="00455660"/>
    <w:rsid w:val="0099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C2CB78"/>
  <w15:docId w15:val="{B3791B0D-545A-42FA-9D2F-48346D5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galtalent@llg.org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LLG Residential Conference Bursary Guidelines </dc:title>
  <dc:creator>Daria Porwisz</dc:creator>
  <cp:lastModifiedBy>ann harlow</cp:lastModifiedBy>
  <cp:revision>2</cp:revision>
  <dcterms:created xsi:type="dcterms:W3CDTF">2026-06-26T15:51:00Z</dcterms:created>
  <dcterms:modified xsi:type="dcterms:W3CDTF">2026-06-26T15:58:00Z</dcterms:modified>
</cp:coreProperties>
</file>